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FE0" w:rsidRDefault="00692FE0" w:rsidP="00692FE0">
      <w:pPr>
        <w:pStyle w:val="a0"/>
        <w:tabs>
          <w:tab w:val="left" w:pos="4404"/>
        </w:tabs>
        <w:spacing w:before="65" w:after="22" w:line="580" w:lineRule="exact"/>
        <w:ind w:left="113"/>
        <w:jc w:val="center"/>
        <w:rPr>
          <w:rFonts w:ascii="方正小标宋简体" w:eastAsia="方正小标宋简体"/>
          <w:sz w:val="44"/>
          <w:szCs w:val="44"/>
        </w:rPr>
      </w:pPr>
      <w:r w:rsidRPr="00692FE0">
        <w:rPr>
          <w:rFonts w:ascii="方正小标宋简体" w:eastAsia="方正小标宋简体" w:hint="eastAsia"/>
          <w:sz w:val="44"/>
          <w:szCs w:val="44"/>
        </w:rPr>
        <w:t>昆明滇池水务股份有限公司</w:t>
      </w:r>
    </w:p>
    <w:p w:rsidR="005D6DFD" w:rsidRDefault="00692FE0" w:rsidP="00692FE0">
      <w:pPr>
        <w:pStyle w:val="a0"/>
        <w:tabs>
          <w:tab w:val="left" w:pos="4404"/>
        </w:tabs>
        <w:spacing w:before="65" w:after="22" w:line="580" w:lineRule="exact"/>
        <w:ind w:left="113"/>
        <w:jc w:val="center"/>
        <w:rPr>
          <w:rFonts w:ascii="方正小标宋简体" w:eastAsia="方正小标宋简体"/>
          <w:sz w:val="44"/>
          <w:szCs w:val="44"/>
        </w:rPr>
      </w:pPr>
      <w:r w:rsidRPr="00692FE0">
        <w:rPr>
          <w:rFonts w:ascii="方正小标宋简体" w:eastAsia="方正小标宋简体" w:hint="eastAsia"/>
          <w:sz w:val="44"/>
          <w:szCs w:val="44"/>
        </w:rPr>
        <w:t>关于第二轮云南省生态环境督察反馈的</w:t>
      </w:r>
    </w:p>
    <w:p w:rsidR="00692FE0" w:rsidRPr="00692FE0" w:rsidRDefault="00692FE0" w:rsidP="00692FE0">
      <w:pPr>
        <w:pStyle w:val="a0"/>
        <w:tabs>
          <w:tab w:val="left" w:pos="4404"/>
        </w:tabs>
        <w:spacing w:before="65" w:after="22" w:line="580" w:lineRule="exact"/>
        <w:ind w:left="113"/>
        <w:jc w:val="center"/>
        <w:rPr>
          <w:rFonts w:ascii="方正小标宋简体" w:eastAsia="方正小标宋简体"/>
          <w:sz w:val="44"/>
          <w:szCs w:val="44"/>
        </w:rPr>
      </w:pPr>
      <w:r w:rsidRPr="00692FE0">
        <w:rPr>
          <w:rFonts w:ascii="方正小标宋简体" w:eastAsia="方正小标宋简体" w:hint="eastAsia"/>
          <w:sz w:val="44"/>
          <w:szCs w:val="44"/>
        </w:rPr>
        <w:t>第</w:t>
      </w:r>
      <w:r w:rsidR="004C0671">
        <w:rPr>
          <w:rFonts w:ascii="方正小标宋简体" w:eastAsia="方正小标宋简体"/>
          <w:sz w:val="44"/>
          <w:szCs w:val="44"/>
        </w:rPr>
        <w:t>6</w:t>
      </w:r>
      <w:r w:rsidRPr="00692FE0">
        <w:rPr>
          <w:rFonts w:ascii="方正小标宋简体" w:eastAsia="方正小标宋简体" w:hint="eastAsia"/>
          <w:sz w:val="44"/>
          <w:szCs w:val="44"/>
        </w:rPr>
        <w:t>项任务整改落实情况公示表</w:t>
      </w:r>
    </w:p>
    <w:p w:rsidR="00CD385A" w:rsidRDefault="009802C4">
      <w:pPr>
        <w:pStyle w:val="a0"/>
        <w:tabs>
          <w:tab w:val="left" w:pos="4404"/>
        </w:tabs>
        <w:spacing w:before="65" w:after="22"/>
        <w:ind w:left="111"/>
      </w:pPr>
      <w:r>
        <w:rPr>
          <w:rFonts w:hint="eastAsia"/>
        </w:rPr>
        <w:t>公示单位：昆明滇池水务股份有限公司</w:t>
      </w:r>
      <w:r w:rsidR="005D6DFD">
        <w:t xml:space="preserve"> </w:t>
      </w:r>
      <w:r>
        <w:rPr>
          <w:rFonts w:hint="eastAsia"/>
          <w:lang w:val="en-US"/>
        </w:rPr>
        <w:t xml:space="preserve">  </w:t>
      </w:r>
      <w:r w:rsidR="00924E9A">
        <w:rPr>
          <w:rFonts w:hint="eastAsia"/>
        </w:rPr>
        <w:t>20</w:t>
      </w:r>
      <w:r w:rsidR="00692FE0">
        <w:t>24</w:t>
      </w:r>
      <w:r w:rsidR="00924E9A">
        <w:rPr>
          <w:rFonts w:hint="eastAsia"/>
        </w:rPr>
        <w:t>年</w:t>
      </w:r>
      <w:r w:rsidR="00692FE0">
        <w:t>12</w:t>
      </w:r>
      <w:r w:rsidR="00924E9A">
        <w:rPr>
          <w:rFonts w:hint="eastAsia"/>
        </w:rPr>
        <w:t>月</w:t>
      </w:r>
      <w:r w:rsidR="004C0671">
        <w:t>30</w:t>
      </w:r>
      <w:r w:rsidR="00924E9A">
        <w:rPr>
          <w:rFonts w:hint="eastAsia"/>
        </w:rPr>
        <w:t>日</w:t>
      </w:r>
    </w:p>
    <w:tbl>
      <w:tblPr>
        <w:tblStyle w:val="a4"/>
        <w:tblW w:w="0" w:type="auto"/>
        <w:jc w:val="center"/>
        <w:tblLook w:val="04A0" w:firstRow="1" w:lastRow="0" w:firstColumn="1" w:lastColumn="0" w:noHBand="0" w:noVBand="1"/>
      </w:tblPr>
      <w:tblGrid>
        <w:gridCol w:w="1437"/>
        <w:gridCol w:w="6859"/>
      </w:tblGrid>
      <w:tr w:rsidR="00CD385A">
        <w:trPr>
          <w:trHeight w:val="90"/>
          <w:jc w:val="center"/>
        </w:trPr>
        <w:tc>
          <w:tcPr>
            <w:tcW w:w="1469" w:type="dxa"/>
            <w:vAlign w:val="center"/>
          </w:tcPr>
          <w:p w:rsidR="00692FE0" w:rsidRDefault="009802C4" w:rsidP="00692FE0">
            <w:pPr>
              <w:spacing w:line="580" w:lineRule="exact"/>
              <w:jc w:val="center"/>
              <w:rPr>
                <w:sz w:val="32"/>
              </w:rPr>
            </w:pPr>
            <w:r>
              <w:rPr>
                <w:sz w:val="32"/>
              </w:rPr>
              <w:t>反馈</w:t>
            </w:r>
          </w:p>
          <w:p w:rsidR="00CD385A" w:rsidRDefault="009802C4" w:rsidP="00692FE0">
            <w:pPr>
              <w:spacing w:line="580" w:lineRule="exact"/>
              <w:jc w:val="center"/>
            </w:pPr>
            <w:r>
              <w:rPr>
                <w:sz w:val="32"/>
              </w:rPr>
              <w:t>问题</w:t>
            </w:r>
          </w:p>
        </w:tc>
        <w:tc>
          <w:tcPr>
            <w:tcW w:w="7053" w:type="dxa"/>
          </w:tcPr>
          <w:p w:rsidR="00692FE0" w:rsidRPr="00692FE0" w:rsidRDefault="00692FE0" w:rsidP="00692FE0">
            <w:pPr>
              <w:spacing w:line="580" w:lineRule="exact"/>
              <w:rPr>
                <w:rFonts w:ascii="Times New Roman" w:hAnsi="Times New Roman"/>
                <w:sz w:val="32"/>
                <w:szCs w:val="32"/>
              </w:rPr>
            </w:pPr>
            <w:r w:rsidRPr="00692FE0">
              <w:rPr>
                <w:rFonts w:ascii="Times New Roman" w:hAnsi="Times New Roman" w:hint="eastAsia"/>
                <w:sz w:val="32"/>
                <w:szCs w:val="32"/>
              </w:rPr>
              <w:t>任务</w:t>
            </w:r>
            <w:r w:rsidR="004C0671">
              <w:rPr>
                <w:rFonts w:ascii="Times New Roman" w:hAnsi="Times New Roman"/>
                <w:sz w:val="32"/>
                <w:szCs w:val="32"/>
              </w:rPr>
              <w:t>6</w:t>
            </w:r>
            <w:r w:rsidRPr="00692FE0">
              <w:rPr>
                <w:rFonts w:ascii="Times New Roman" w:hAnsi="Times New Roman"/>
                <w:sz w:val="32"/>
                <w:szCs w:val="32"/>
              </w:rPr>
              <w:t>：</w:t>
            </w:r>
            <w:r w:rsidR="004C0671" w:rsidRPr="004C0671">
              <w:rPr>
                <w:rFonts w:ascii="Times New Roman" w:hAnsi="Times New Roman" w:hint="eastAsia"/>
                <w:sz w:val="32"/>
                <w:szCs w:val="32"/>
              </w:rPr>
              <w:t>污泥处置标准规范执行不严。</w:t>
            </w:r>
          </w:p>
          <w:p w:rsidR="00CD385A" w:rsidRDefault="00692FE0" w:rsidP="00692FE0">
            <w:pPr>
              <w:spacing w:line="580" w:lineRule="exact"/>
            </w:pPr>
            <w:r w:rsidRPr="00692FE0">
              <w:rPr>
                <w:rFonts w:ascii="Times New Roman" w:hAnsi="Times New Roman" w:hint="eastAsia"/>
                <w:sz w:val="32"/>
                <w:szCs w:val="32"/>
              </w:rPr>
              <w:t>督察报告指出：</w:t>
            </w:r>
            <w:r w:rsidR="004C0671" w:rsidRPr="004C0671">
              <w:rPr>
                <w:rFonts w:ascii="Times New Roman" w:hAnsi="Times New Roman" w:hint="eastAsia"/>
                <w:sz w:val="32"/>
                <w:szCs w:val="32"/>
              </w:rPr>
              <w:t>标准规范执行不严，滇池水务公司落实《城镇污水处理厂污泥处置土地利用技术规范》不到位。滇池水务公司所属污水处理厂污泥泥质监测由滇池水务公司统一开展，堆肥企业不再监测，同时滇池水务公司下属公司的合同中仅需堆肥企业提供半年一次的产品检测报告，未落实昆明市《城镇污水处理厂污泥处置土地利用技术规范》明确的“堆肥企业应对污泥的重金属等指标按照每一批次进行抽检”和“堆肥企业应每</w:t>
            </w:r>
            <w:r w:rsidR="004C0671">
              <w:rPr>
                <w:rFonts w:ascii="Times New Roman" w:hAnsi="Times New Roman"/>
                <w:sz w:val="32"/>
                <w:szCs w:val="32"/>
              </w:rPr>
              <w:t>60</w:t>
            </w:r>
            <w:r w:rsidR="004C0671" w:rsidRPr="004C0671">
              <w:rPr>
                <w:rFonts w:ascii="Times New Roman" w:hAnsi="Times New Roman"/>
                <w:sz w:val="32"/>
                <w:szCs w:val="32"/>
              </w:rPr>
              <w:t>天开展一次污泥产品检测</w:t>
            </w:r>
            <w:r w:rsidR="004C0671" w:rsidRPr="004C0671">
              <w:rPr>
                <w:rFonts w:ascii="Times New Roman" w:hAnsi="Times New Roman"/>
                <w:sz w:val="32"/>
                <w:szCs w:val="32"/>
              </w:rPr>
              <w:t>”</w:t>
            </w:r>
            <w:r w:rsidR="004C0671" w:rsidRPr="004C0671">
              <w:rPr>
                <w:rFonts w:ascii="Times New Roman" w:hAnsi="Times New Roman"/>
                <w:sz w:val="32"/>
                <w:szCs w:val="32"/>
              </w:rPr>
              <w:t>等要求，加之大部分堆肥企业未制定污泥重金属超标应急预案，污染风险难以防范化解。经调阅昆明市滇池管理局委托监测资料，</w:t>
            </w:r>
            <w:r w:rsidR="004C0671" w:rsidRPr="004C0671">
              <w:rPr>
                <w:rFonts w:ascii="Times New Roman" w:hAnsi="Times New Roman" w:hint="eastAsia"/>
                <w:sz w:val="32"/>
                <w:szCs w:val="32"/>
              </w:rPr>
              <w:t>昆明市第三、第九、第十三水质净化厂污泥部分重金属指标超标，市滇池管理局等有关部门监管不到位，存在未及时反馈部分季度污泥重金属超标情况、未督促堆肥企业按期开展各项监测、污泥处置季度检查流于形式等情况。以至于滇池水务下属公司超设计方案和配送</w:t>
            </w:r>
            <w:r w:rsidR="004C0671" w:rsidRPr="004C0671">
              <w:rPr>
                <w:rFonts w:ascii="Times New Roman" w:hAnsi="Times New Roman" w:hint="eastAsia"/>
                <w:sz w:val="32"/>
                <w:szCs w:val="32"/>
              </w:rPr>
              <w:lastRenderedPageBreak/>
              <w:t>范围向堆肥企业提供</w:t>
            </w:r>
            <w:r w:rsidR="004C0671">
              <w:rPr>
                <w:rFonts w:ascii="Times New Roman" w:hAnsi="Times New Roman" w:hint="eastAsia"/>
                <w:sz w:val="32"/>
                <w:szCs w:val="32"/>
              </w:rPr>
              <w:t>污泥，甚至违规将第三水质净化厂抽检超标的污泥配送至堆肥企业处理</w:t>
            </w:r>
            <w:r w:rsidRPr="00692FE0">
              <w:rPr>
                <w:rFonts w:ascii="Times New Roman" w:hAnsi="Times New Roman" w:hint="eastAsia"/>
                <w:sz w:val="32"/>
                <w:szCs w:val="32"/>
              </w:rPr>
              <w:t>。</w:t>
            </w:r>
          </w:p>
        </w:tc>
      </w:tr>
      <w:tr w:rsidR="00CD385A" w:rsidTr="00692FE0">
        <w:trPr>
          <w:trHeight w:val="1605"/>
          <w:jc w:val="center"/>
        </w:trPr>
        <w:tc>
          <w:tcPr>
            <w:tcW w:w="1469" w:type="dxa"/>
            <w:vAlign w:val="center"/>
          </w:tcPr>
          <w:p w:rsidR="00CD385A" w:rsidRDefault="009802C4">
            <w:pPr>
              <w:spacing w:line="580" w:lineRule="exact"/>
              <w:jc w:val="center"/>
              <w:rPr>
                <w:sz w:val="32"/>
                <w:lang w:val="en-US"/>
              </w:rPr>
            </w:pPr>
            <w:r>
              <w:rPr>
                <w:rFonts w:hint="eastAsia"/>
                <w:sz w:val="32"/>
                <w:lang w:val="en-US"/>
              </w:rPr>
              <w:lastRenderedPageBreak/>
              <w:t>整改</w:t>
            </w:r>
          </w:p>
          <w:p w:rsidR="00CD385A" w:rsidRDefault="009802C4">
            <w:pPr>
              <w:spacing w:line="580" w:lineRule="exact"/>
              <w:jc w:val="center"/>
              <w:rPr>
                <w:lang w:val="en-US"/>
              </w:rPr>
            </w:pPr>
            <w:r>
              <w:rPr>
                <w:rFonts w:hint="eastAsia"/>
                <w:sz w:val="32"/>
                <w:lang w:val="en-US"/>
              </w:rPr>
              <w:t>目标</w:t>
            </w:r>
          </w:p>
        </w:tc>
        <w:tc>
          <w:tcPr>
            <w:tcW w:w="7053" w:type="dxa"/>
            <w:vAlign w:val="center"/>
          </w:tcPr>
          <w:p w:rsidR="00CD385A" w:rsidRDefault="004C0671" w:rsidP="00692FE0">
            <w:pPr>
              <w:spacing w:line="560" w:lineRule="exact"/>
              <w:outlineLvl w:val="0"/>
            </w:pPr>
            <w:r w:rsidRPr="00204329">
              <w:rPr>
                <w:rFonts w:ascii="Times New Roman" w:hAnsi="Times New Roman" w:cs="Times New Roman"/>
                <w:color w:val="000000"/>
                <w:sz w:val="31"/>
                <w:szCs w:val="31"/>
                <w:lang w:bidi="ar"/>
              </w:rPr>
              <w:t>加强污泥处理处置规范管理、依法合规处置重金属超标污泥。</w:t>
            </w:r>
          </w:p>
        </w:tc>
      </w:tr>
      <w:tr w:rsidR="00CD385A">
        <w:trPr>
          <w:jc w:val="center"/>
        </w:trPr>
        <w:tc>
          <w:tcPr>
            <w:tcW w:w="1469" w:type="dxa"/>
            <w:vAlign w:val="center"/>
          </w:tcPr>
          <w:p w:rsidR="00CD385A" w:rsidRDefault="009802C4">
            <w:pPr>
              <w:spacing w:line="580" w:lineRule="exact"/>
              <w:jc w:val="center"/>
              <w:rPr>
                <w:sz w:val="32"/>
              </w:rPr>
            </w:pPr>
            <w:r>
              <w:rPr>
                <w:sz w:val="32"/>
              </w:rPr>
              <w:t>整改</w:t>
            </w:r>
          </w:p>
          <w:p w:rsidR="00CD385A" w:rsidRDefault="009802C4">
            <w:pPr>
              <w:spacing w:line="580" w:lineRule="exact"/>
              <w:jc w:val="center"/>
            </w:pPr>
            <w:r>
              <w:rPr>
                <w:sz w:val="32"/>
              </w:rPr>
              <w:t>措施</w:t>
            </w:r>
          </w:p>
        </w:tc>
        <w:tc>
          <w:tcPr>
            <w:tcW w:w="7053" w:type="dxa"/>
            <w:vAlign w:val="center"/>
          </w:tcPr>
          <w:p w:rsidR="00924E9A" w:rsidRPr="00924E9A" w:rsidRDefault="00924E9A" w:rsidP="00692FE0">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kern w:val="2"/>
                <w:sz w:val="32"/>
                <w:szCs w:val="32"/>
                <w:lang w:val="en-US" w:bidi="ar-SA"/>
              </w:rPr>
              <w:t>市级</w:t>
            </w:r>
            <w:r w:rsidR="00692FE0">
              <w:rPr>
                <w:rFonts w:ascii="Times New Roman" w:hAnsi="Times New Roman" w:cs="Arial" w:hint="eastAsia"/>
                <w:kern w:val="2"/>
                <w:sz w:val="32"/>
                <w:szCs w:val="32"/>
                <w:lang w:val="en-US" w:bidi="ar-SA"/>
              </w:rPr>
              <w:t>整改</w:t>
            </w:r>
            <w:r w:rsidRPr="00924E9A">
              <w:rPr>
                <w:rFonts w:ascii="Times New Roman" w:hAnsi="Times New Roman" w:cs="Arial"/>
                <w:kern w:val="2"/>
                <w:sz w:val="32"/>
                <w:szCs w:val="32"/>
                <w:lang w:val="en-US" w:bidi="ar-SA"/>
              </w:rPr>
              <w:t>方案措施：</w:t>
            </w:r>
          </w:p>
          <w:p w:rsidR="004C0671" w:rsidRPr="004C0671" w:rsidRDefault="004C0671" w:rsidP="004C0671">
            <w:pPr>
              <w:spacing w:line="560" w:lineRule="exact"/>
              <w:ind w:firstLineChars="200" w:firstLine="640"/>
              <w:outlineLvl w:val="0"/>
              <w:rPr>
                <w:rFonts w:ascii="Times New Roman" w:hAnsi="Times New Roman" w:cs="Arial"/>
                <w:kern w:val="2"/>
                <w:sz w:val="32"/>
                <w:szCs w:val="32"/>
                <w:lang w:val="en-US" w:bidi="ar-SA"/>
              </w:rPr>
            </w:pPr>
            <w:r w:rsidRPr="004C0671">
              <w:rPr>
                <w:rFonts w:ascii="Times New Roman" w:hAnsi="Times New Roman" w:cs="Arial"/>
                <w:kern w:val="2"/>
                <w:sz w:val="32"/>
                <w:szCs w:val="32"/>
                <w:lang w:val="en-US" w:bidi="ar-SA"/>
              </w:rPr>
              <w:t>1.</w:t>
            </w:r>
            <w:r w:rsidRPr="004C0671">
              <w:rPr>
                <w:rFonts w:ascii="Times New Roman" w:hAnsi="Times New Roman" w:cs="Arial"/>
                <w:kern w:val="2"/>
                <w:sz w:val="32"/>
                <w:szCs w:val="32"/>
                <w:lang w:val="en-US" w:bidi="ar-SA"/>
              </w:rPr>
              <w:t>排水主管部门督促污泥产生企业严格按照《城镇污水处理厂污泥处理处置规范》要求，每季度对污泥质量开展</w:t>
            </w:r>
            <w:r w:rsidRPr="004C0671">
              <w:rPr>
                <w:rFonts w:ascii="Times New Roman" w:hAnsi="Times New Roman" w:cs="Arial"/>
                <w:kern w:val="2"/>
                <w:sz w:val="32"/>
                <w:szCs w:val="32"/>
                <w:lang w:val="en-US" w:bidi="ar-SA"/>
              </w:rPr>
              <w:t>1</w:t>
            </w:r>
            <w:r w:rsidRPr="004C0671">
              <w:rPr>
                <w:rFonts w:ascii="Times New Roman" w:hAnsi="Times New Roman" w:cs="Arial"/>
                <w:kern w:val="2"/>
                <w:sz w:val="32"/>
                <w:szCs w:val="32"/>
                <w:lang w:val="en-US" w:bidi="ar-SA"/>
              </w:rPr>
              <w:t>次监测。严禁将重金属超标污泥配送堆肥企业进行处置。</w:t>
            </w:r>
          </w:p>
          <w:p w:rsidR="004C0671" w:rsidRPr="004C0671" w:rsidRDefault="004C0671" w:rsidP="004C0671">
            <w:pPr>
              <w:spacing w:line="560" w:lineRule="exact"/>
              <w:ind w:firstLineChars="200" w:firstLine="640"/>
              <w:outlineLvl w:val="0"/>
              <w:rPr>
                <w:rFonts w:ascii="Times New Roman" w:hAnsi="Times New Roman" w:cs="Arial"/>
                <w:kern w:val="2"/>
                <w:sz w:val="32"/>
                <w:szCs w:val="32"/>
                <w:lang w:val="en-US" w:bidi="ar-SA"/>
              </w:rPr>
            </w:pPr>
            <w:r w:rsidRPr="004C0671">
              <w:rPr>
                <w:rFonts w:ascii="Times New Roman" w:hAnsi="Times New Roman" w:cs="Arial"/>
                <w:kern w:val="2"/>
                <w:sz w:val="32"/>
                <w:szCs w:val="32"/>
                <w:lang w:val="en-US" w:bidi="ar-SA"/>
              </w:rPr>
              <w:t>2.</w:t>
            </w:r>
            <w:r w:rsidRPr="004C0671">
              <w:rPr>
                <w:rFonts w:ascii="Times New Roman" w:hAnsi="Times New Roman" w:cs="Arial"/>
                <w:kern w:val="2"/>
                <w:sz w:val="32"/>
                <w:szCs w:val="32"/>
                <w:lang w:val="en-US" w:bidi="ar-SA"/>
              </w:rPr>
              <w:t>督促堆肥企业严格按照《城镇污水处理厂污泥处置土地利用技术规范》要求，每季度对污泥的重金属等指标进行</w:t>
            </w:r>
            <w:r w:rsidRPr="004C0671">
              <w:rPr>
                <w:rFonts w:ascii="Times New Roman" w:hAnsi="Times New Roman" w:cs="Arial"/>
                <w:kern w:val="2"/>
                <w:sz w:val="32"/>
                <w:szCs w:val="32"/>
                <w:lang w:val="en-US" w:bidi="ar-SA"/>
              </w:rPr>
              <w:t>1</w:t>
            </w:r>
            <w:r w:rsidRPr="004C0671">
              <w:rPr>
                <w:rFonts w:ascii="Times New Roman" w:hAnsi="Times New Roman" w:cs="Arial"/>
                <w:kern w:val="2"/>
                <w:sz w:val="32"/>
                <w:szCs w:val="32"/>
                <w:lang w:val="en-US" w:bidi="ar-SA"/>
              </w:rPr>
              <w:t>次抽检；制定污泥重金属超标应急预案，及时处置重金属超标污泥。</w:t>
            </w:r>
          </w:p>
          <w:p w:rsidR="00924E9A" w:rsidRPr="00924E9A" w:rsidRDefault="004C0671" w:rsidP="004C0671">
            <w:pPr>
              <w:spacing w:line="560" w:lineRule="exact"/>
              <w:ind w:firstLineChars="200" w:firstLine="640"/>
              <w:outlineLvl w:val="0"/>
              <w:rPr>
                <w:rFonts w:ascii="Times New Roman" w:hAnsi="Times New Roman" w:cs="Arial"/>
                <w:kern w:val="2"/>
                <w:sz w:val="32"/>
                <w:szCs w:val="32"/>
                <w:lang w:val="en-US" w:bidi="ar-SA"/>
              </w:rPr>
            </w:pPr>
            <w:r w:rsidRPr="004C0671">
              <w:rPr>
                <w:rFonts w:ascii="Times New Roman" w:hAnsi="Times New Roman" w:cs="Arial"/>
                <w:kern w:val="2"/>
                <w:sz w:val="32"/>
                <w:szCs w:val="32"/>
                <w:lang w:val="en-US" w:bidi="ar-SA"/>
              </w:rPr>
              <w:t>3.</w:t>
            </w:r>
            <w:r w:rsidRPr="004C0671">
              <w:rPr>
                <w:rFonts w:ascii="Times New Roman" w:hAnsi="Times New Roman" w:cs="Arial"/>
                <w:kern w:val="2"/>
                <w:sz w:val="32"/>
                <w:szCs w:val="32"/>
                <w:lang w:val="en-US" w:bidi="ar-SA"/>
              </w:rPr>
              <w:t>加强分析研判，对可能出现重金属超标的水质净化厂（污水处理厂）产生的污泥，采用协同掺烧及建材利用的处理处置方式进行处置。</w:t>
            </w:r>
          </w:p>
          <w:p w:rsidR="00924E9A" w:rsidRPr="00924E9A" w:rsidRDefault="00924E9A" w:rsidP="00692FE0">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hint="eastAsia"/>
                <w:kern w:val="2"/>
                <w:sz w:val="32"/>
                <w:szCs w:val="32"/>
                <w:lang w:val="en-US" w:bidi="ar-SA"/>
              </w:rPr>
              <w:t>昆明滇池水务公司措施：</w:t>
            </w:r>
          </w:p>
          <w:p w:rsidR="00692FE0" w:rsidRPr="00692FE0" w:rsidRDefault="00692FE0" w:rsidP="00692FE0">
            <w:pPr>
              <w:spacing w:line="560" w:lineRule="exact"/>
              <w:ind w:firstLineChars="200" w:firstLine="640"/>
              <w:outlineLvl w:val="0"/>
              <w:rPr>
                <w:rFonts w:ascii="Times New Roman" w:hAnsi="Times New Roman" w:cs="Arial"/>
                <w:kern w:val="2"/>
                <w:sz w:val="32"/>
                <w:szCs w:val="32"/>
                <w:lang w:val="en-US" w:bidi="ar-SA"/>
              </w:rPr>
            </w:pPr>
            <w:r>
              <w:rPr>
                <w:rFonts w:ascii="Times New Roman" w:hAnsi="Times New Roman" w:cs="Arial" w:hint="eastAsia"/>
                <w:kern w:val="2"/>
                <w:sz w:val="32"/>
                <w:szCs w:val="32"/>
                <w:lang w:val="en-US" w:bidi="ar-SA"/>
              </w:rPr>
              <w:t>1</w:t>
            </w:r>
            <w:r>
              <w:rPr>
                <w:rFonts w:ascii="Times New Roman" w:hAnsi="Times New Roman" w:cs="Arial"/>
                <w:kern w:val="2"/>
                <w:sz w:val="32"/>
                <w:szCs w:val="32"/>
                <w:lang w:val="en-US" w:bidi="ar-SA"/>
              </w:rPr>
              <w:t>.</w:t>
            </w:r>
            <w:r w:rsidR="004C0671" w:rsidRPr="004C0671">
              <w:rPr>
                <w:rFonts w:ascii="Times New Roman" w:hAnsi="Times New Roman" w:cs="Arial" w:hint="eastAsia"/>
                <w:kern w:val="2"/>
                <w:sz w:val="32"/>
                <w:szCs w:val="32"/>
                <w:lang w:val="en-US" w:bidi="ar-SA"/>
              </w:rPr>
              <w:t>每季度首月对污泥进行一次重金属检测，并向污泥处置单位提供污泥检测报告；对照《城镇污水处理厂污泥泥质》（</w:t>
            </w:r>
            <w:r w:rsidR="004C0671" w:rsidRPr="004C0671">
              <w:rPr>
                <w:rFonts w:ascii="Times New Roman" w:hAnsi="Times New Roman" w:cs="Arial"/>
                <w:kern w:val="2"/>
                <w:sz w:val="32"/>
                <w:szCs w:val="32"/>
                <w:lang w:val="en-US" w:bidi="ar-SA"/>
              </w:rPr>
              <w:t>GB24188-2009</w:t>
            </w:r>
            <w:r w:rsidR="004C0671" w:rsidRPr="004C0671">
              <w:rPr>
                <w:rFonts w:ascii="Times New Roman" w:hAnsi="Times New Roman" w:cs="Arial"/>
                <w:kern w:val="2"/>
                <w:sz w:val="32"/>
                <w:szCs w:val="32"/>
                <w:lang w:val="en-US" w:bidi="ar-SA"/>
              </w:rPr>
              <w:t>）标准值进行分析研判，对可能出现重金属超标的污泥进行协同掺烧处置。</w:t>
            </w:r>
          </w:p>
          <w:p w:rsidR="00CD385A" w:rsidRPr="00692FE0" w:rsidRDefault="00692FE0" w:rsidP="004C0671">
            <w:pPr>
              <w:spacing w:line="560" w:lineRule="exact"/>
              <w:ind w:firstLineChars="200" w:firstLine="640"/>
              <w:outlineLvl w:val="0"/>
              <w:rPr>
                <w:rFonts w:ascii="Times New Roman" w:hAnsi="Times New Roman" w:cs="Arial"/>
                <w:kern w:val="2"/>
                <w:sz w:val="32"/>
                <w:szCs w:val="32"/>
                <w:lang w:val="en-US" w:bidi="ar-SA"/>
              </w:rPr>
            </w:pPr>
            <w:r>
              <w:rPr>
                <w:rFonts w:ascii="Times New Roman" w:hAnsi="Times New Roman" w:cs="Arial" w:hint="eastAsia"/>
                <w:kern w:val="2"/>
                <w:sz w:val="32"/>
                <w:szCs w:val="32"/>
                <w:lang w:val="en-US" w:bidi="ar-SA"/>
              </w:rPr>
              <w:t>2</w:t>
            </w:r>
            <w:r>
              <w:rPr>
                <w:rFonts w:ascii="Times New Roman" w:hAnsi="Times New Roman" w:cs="Arial"/>
                <w:kern w:val="2"/>
                <w:sz w:val="32"/>
                <w:szCs w:val="32"/>
                <w:lang w:val="en-US" w:bidi="ar-SA"/>
              </w:rPr>
              <w:t>.</w:t>
            </w:r>
            <w:r w:rsidR="004C0671" w:rsidRPr="004C0671">
              <w:rPr>
                <w:rFonts w:ascii="Times New Roman" w:hAnsi="Times New Roman" w:cs="Arial" w:hint="eastAsia"/>
                <w:kern w:val="2"/>
                <w:sz w:val="32"/>
                <w:szCs w:val="32"/>
                <w:lang w:val="en-US" w:bidi="ar-SA"/>
              </w:rPr>
              <w:t>林业基质土项目每季度末月对接收污泥重</w:t>
            </w:r>
            <w:r w:rsidR="004C0671" w:rsidRPr="004C0671">
              <w:rPr>
                <w:rFonts w:ascii="Times New Roman" w:hAnsi="Times New Roman" w:cs="Arial" w:hint="eastAsia"/>
                <w:kern w:val="2"/>
                <w:sz w:val="32"/>
                <w:szCs w:val="32"/>
                <w:lang w:val="en-US" w:bidi="ar-SA"/>
              </w:rPr>
              <w:lastRenderedPageBreak/>
              <w:t>金属进行一次抽检；制定了《污泥泥质超标处理处置应急预案》，避免和降低污泥处理处置过程中因污泥泥质超标带来的二次环境污染风险，规范泥质超标的污泥处理处置工作，依法合规处置污泥。</w:t>
            </w:r>
          </w:p>
        </w:tc>
      </w:tr>
      <w:tr w:rsidR="00CD385A">
        <w:trPr>
          <w:jc w:val="center"/>
        </w:trPr>
        <w:tc>
          <w:tcPr>
            <w:tcW w:w="1469" w:type="dxa"/>
            <w:vAlign w:val="center"/>
          </w:tcPr>
          <w:p w:rsidR="00CD385A" w:rsidRDefault="009802C4">
            <w:pPr>
              <w:spacing w:line="580" w:lineRule="exact"/>
              <w:jc w:val="center"/>
              <w:rPr>
                <w:sz w:val="32"/>
              </w:rPr>
            </w:pPr>
            <w:r>
              <w:rPr>
                <w:sz w:val="32"/>
              </w:rPr>
              <w:lastRenderedPageBreak/>
              <w:t>整改主要工作成效</w:t>
            </w:r>
          </w:p>
        </w:tc>
        <w:tc>
          <w:tcPr>
            <w:tcW w:w="7053" w:type="dxa"/>
            <w:vAlign w:val="center"/>
          </w:tcPr>
          <w:p w:rsidR="004C0671" w:rsidRPr="004C0671" w:rsidRDefault="004C0671" w:rsidP="004C0671">
            <w:pPr>
              <w:widowControl/>
              <w:spacing w:line="560" w:lineRule="exact"/>
              <w:ind w:firstLineChars="200" w:firstLine="640"/>
              <w:rPr>
                <w:rFonts w:ascii="Times New Roman" w:hAnsi="Times New Roman" w:cs="Arial"/>
                <w:kern w:val="2"/>
                <w:sz w:val="32"/>
                <w:szCs w:val="32"/>
                <w:lang w:val="en-US" w:bidi="ar-SA"/>
              </w:rPr>
            </w:pPr>
            <w:r w:rsidRPr="004C0671">
              <w:rPr>
                <w:rFonts w:ascii="Times New Roman" w:hAnsi="Times New Roman" w:cs="Arial" w:hint="eastAsia"/>
                <w:kern w:val="2"/>
                <w:sz w:val="32"/>
                <w:szCs w:val="32"/>
                <w:lang w:val="en-US" w:bidi="ar-SA"/>
              </w:rPr>
              <w:t>措施</w:t>
            </w:r>
            <w:r w:rsidRPr="004C0671">
              <w:rPr>
                <w:rFonts w:ascii="Times New Roman" w:hAnsi="Times New Roman" w:cs="Arial"/>
                <w:kern w:val="2"/>
                <w:sz w:val="32"/>
                <w:szCs w:val="32"/>
                <w:lang w:val="en-US" w:bidi="ar-SA"/>
              </w:rPr>
              <w:t>1</w:t>
            </w:r>
            <w:r w:rsidRPr="004C0671">
              <w:rPr>
                <w:rFonts w:ascii="Times New Roman" w:hAnsi="Times New Roman" w:cs="Arial"/>
                <w:kern w:val="2"/>
                <w:sz w:val="32"/>
                <w:szCs w:val="32"/>
                <w:lang w:val="en-US" w:bidi="ar-SA"/>
              </w:rPr>
              <w:t>：每季度首月对污泥进行一次重金属检测，并向污泥处置单位提供污泥检测报告；对照《城镇污水处理厂污泥泥质》（</w:t>
            </w:r>
            <w:r w:rsidRPr="004C0671">
              <w:rPr>
                <w:rFonts w:ascii="Times New Roman" w:hAnsi="Times New Roman" w:cs="Arial"/>
                <w:kern w:val="2"/>
                <w:sz w:val="32"/>
                <w:szCs w:val="32"/>
                <w:lang w:val="en-US" w:bidi="ar-SA"/>
              </w:rPr>
              <w:t>GB24188-2009</w:t>
            </w:r>
            <w:r w:rsidRPr="004C0671">
              <w:rPr>
                <w:rFonts w:ascii="Times New Roman" w:hAnsi="Times New Roman" w:cs="Arial"/>
                <w:kern w:val="2"/>
                <w:sz w:val="32"/>
                <w:szCs w:val="32"/>
                <w:lang w:val="en-US" w:bidi="ar-SA"/>
              </w:rPr>
              <w:t>）标准值进行分析研判，对可能出现重金属超标的污泥进行协同掺烧处置。</w:t>
            </w:r>
          </w:p>
          <w:p w:rsidR="004C0671" w:rsidRPr="004C0671" w:rsidRDefault="004C0671" w:rsidP="004C0671">
            <w:pPr>
              <w:widowControl/>
              <w:spacing w:line="560" w:lineRule="exact"/>
              <w:ind w:firstLineChars="200" w:firstLine="640"/>
              <w:rPr>
                <w:rFonts w:ascii="Times New Roman" w:hAnsi="Times New Roman" w:cs="Arial"/>
                <w:kern w:val="2"/>
                <w:sz w:val="32"/>
                <w:szCs w:val="32"/>
                <w:lang w:val="en-US" w:bidi="ar-SA"/>
              </w:rPr>
            </w:pPr>
            <w:r w:rsidRPr="004C0671">
              <w:rPr>
                <w:rFonts w:ascii="Times New Roman" w:hAnsi="Times New Roman" w:cs="Arial" w:hint="eastAsia"/>
                <w:kern w:val="2"/>
                <w:sz w:val="32"/>
                <w:szCs w:val="32"/>
                <w:lang w:val="en-US" w:bidi="ar-SA"/>
              </w:rPr>
              <w:t>完成情况：</w:t>
            </w:r>
            <w:r w:rsidRPr="004C0671">
              <w:rPr>
                <w:rFonts w:ascii="Times New Roman" w:hAnsi="Times New Roman" w:cs="Arial"/>
                <w:kern w:val="2"/>
                <w:sz w:val="32"/>
                <w:szCs w:val="32"/>
                <w:lang w:val="en-US" w:bidi="ar-SA"/>
              </w:rPr>
              <w:t>2024</w:t>
            </w:r>
            <w:r w:rsidRPr="004C0671">
              <w:rPr>
                <w:rFonts w:ascii="Times New Roman" w:hAnsi="Times New Roman" w:cs="Arial"/>
                <w:kern w:val="2"/>
                <w:sz w:val="32"/>
                <w:szCs w:val="32"/>
                <w:lang w:val="en-US" w:bidi="ar-SA"/>
              </w:rPr>
              <w:t>年每季度首月对污泥进行重金属检测，并向污泥处置单位及上级主管部门提供污泥检测报告，对砷含量波动较大的第三水质净化厂污泥进行协同掺烧处置，截至目前未发生污泥重金属超标进行好氧发酵土地利用情况。</w:t>
            </w:r>
          </w:p>
          <w:p w:rsidR="004C0671" w:rsidRPr="004C0671" w:rsidRDefault="004C0671" w:rsidP="004C0671">
            <w:pPr>
              <w:widowControl/>
              <w:spacing w:line="560" w:lineRule="exact"/>
              <w:ind w:firstLineChars="200" w:firstLine="640"/>
              <w:rPr>
                <w:rFonts w:ascii="Times New Roman" w:hAnsi="Times New Roman" w:cs="Arial"/>
                <w:kern w:val="2"/>
                <w:sz w:val="32"/>
                <w:szCs w:val="32"/>
                <w:lang w:val="en-US" w:bidi="ar-SA"/>
              </w:rPr>
            </w:pPr>
            <w:r w:rsidRPr="004C0671">
              <w:rPr>
                <w:rFonts w:ascii="Times New Roman" w:hAnsi="Times New Roman" w:cs="Arial" w:hint="eastAsia"/>
                <w:kern w:val="2"/>
                <w:sz w:val="32"/>
                <w:szCs w:val="32"/>
                <w:lang w:val="en-US" w:bidi="ar-SA"/>
              </w:rPr>
              <w:t>措施</w:t>
            </w:r>
            <w:r w:rsidRPr="004C0671">
              <w:rPr>
                <w:rFonts w:ascii="Times New Roman" w:hAnsi="Times New Roman" w:cs="Arial"/>
                <w:kern w:val="2"/>
                <w:sz w:val="32"/>
                <w:szCs w:val="32"/>
                <w:lang w:val="en-US" w:bidi="ar-SA"/>
              </w:rPr>
              <w:t>2</w:t>
            </w:r>
            <w:r w:rsidRPr="004C0671">
              <w:rPr>
                <w:rFonts w:ascii="Times New Roman" w:hAnsi="Times New Roman" w:cs="Arial"/>
                <w:kern w:val="2"/>
                <w:sz w:val="32"/>
                <w:szCs w:val="32"/>
                <w:lang w:val="en-US" w:bidi="ar-SA"/>
              </w:rPr>
              <w:t>：林业基质土项目每季度末月对接收污泥重金属进行一次抽检；制定了《污泥泥质超标处理处置应急预案》，避免和降低污泥处理处置过程中因污泥泥质超标带来的二次环境污染风险，规范泥质超标的污泥处理处置工作，依法合规处置污泥。</w:t>
            </w:r>
          </w:p>
          <w:p w:rsidR="00CD385A" w:rsidRPr="00692FE0" w:rsidRDefault="004C0671" w:rsidP="004C0671">
            <w:pPr>
              <w:widowControl/>
              <w:spacing w:line="560" w:lineRule="exact"/>
              <w:ind w:firstLineChars="200" w:firstLine="640"/>
              <w:rPr>
                <w:rFonts w:ascii="Times New Roman" w:hAnsi="Times New Roman" w:cs="Arial"/>
                <w:kern w:val="2"/>
                <w:sz w:val="32"/>
                <w:szCs w:val="32"/>
                <w:lang w:val="en-US" w:bidi="ar-SA"/>
              </w:rPr>
            </w:pPr>
            <w:r w:rsidRPr="004C0671">
              <w:rPr>
                <w:rFonts w:ascii="Times New Roman" w:hAnsi="Times New Roman" w:cs="Arial" w:hint="eastAsia"/>
                <w:kern w:val="2"/>
                <w:sz w:val="32"/>
                <w:szCs w:val="32"/>
                <w:lang w:val="en-US" w:bidi="ar-SA"/>
              </w:rPr>
              <w:t>完成情况：林业基质土项目于</w:t>
            </w:r>
            <w:r w:rsidRPr="004C0671">
              <w:rPr>
                <w:rFonts w:ascii="Times New Roman" w:hAnsi="Times New Roman" w:cs="Arial"/>
                <w:kern w:val="2"/>
                <w:sz w:val="32"/>
                <w:szCs w:val="32"/>
                <w:lang w:val="en-US" w:bidi="ar-SA"/>
              </w:rPr>
              <w:t>2024</w:t>
            </w:r>
            <w:r w:rsidRPr="004C0671">
              <w:rPr>
                <w:rFonts w:ascii="Times New Roman" w:hAnsi="Times New Roman" w:cs="Arial"/>
                <w:kern w:val="2"/>
                <w:sz w:val="32"/>
                <w:szCs w:val="32"/>
                <w:lang w:val="en-US" w:bidi="ar-SA"/>
              </w:rPr>
              <w:t>年第二季度开始实施每季度末月对接收污泥重金属进行抽检，并向其他污泥堆肥企业致函入厂污泥重金</w:t>
            </w:r>
            <w:r w:rsidRPr="004C0671">
              <w:rPr>
                <w:rFonts w:ascii="Times New Roman" w:hAnsi="Times New Roman" w:cs="Arial"/>
                <w:kern w:val="2"/>
                <w:sz w:val="32"/>
                <w:szCs w:val="32"/>
                <w:lang w:val="en-US" w:bidi="ar-SA"/>
              </w:rPr>
              <w:lastRenderedPageBreak/>
              <w:t>属抽检措施要求。各堆肥企业均已完成《污泥泥质超标处理处置应急预案》修订及完善工作，规范泥质超标的污泥处理处置工作，提高污泥处理处置管理水平。</w:t>
            </w:r>
          </w:p>
        </w:tc>
        <w:bookmarkStart w:id="0" w:name="_GoBack"/>
        <w:bookmarkEnd w:id="0"/>
      </w:tr>
      <w:tr w:rsidR="00CD385A">
        <w:trPr>
          <w:jc w:val="center"/>
        </w:trPr>
        <w:tc>
          <w:tcPr>
            <w:tcW w:w="1469" w:type="dxa"/>
            <w:vAlign w:val="center"/>
          </w:tcPr>
          <w:p w:rsidR="00CD385A" w:rsidRDefault="009802C4">
            <w:pPr>
              <w:spacing w:line="580" w:lineRule="exact"/>
              <w:jc w:val="center"/>
              <w:rPr>
                <w:sz w:val="32"/>
              </w:rPr>
            </w:pPr>
            <w:r>
              <w:rPr>
                <w:sz w:val="32"/>
              </w:rPr>
              <w:lastRenderedPageBreak/>
              <w:t>责任单位、责任人及联系人</w:t>
            </w:r>
          </w:p>
        </w:tc>
        <w:tc>
          <w:tcPr>
            <w:tcW w:w="7053" w:type="dxa"/>
            <w:vAlign w:val="center"/>
          </w:tcPr>
          <w:p w:rsidR="00CD385A" w:rsidRDefault="009802C4">
            <w:pPr>
              <w:spacing w:line="580" w:lineRule="exact"/>
              <w:rPr>
                <w:kern w:val="2"/>
                <w:sz w:val="32"/>
                <w:lang w:val="en-US"/>
              </w:rPr>
            </w:pPr>
            <w:r>
              <w:rPr>
                <w:rFonts w:hint="eastAsia"/>
                <w:kern w:val="2"/>
                <w:sz w:val="32"/>
                <w:lang w:val="en-US"/>
              </w:rPr>
              <w:t>责任单位：昆明滇池水务股份有限公司</w:t>
            </w:r>
          </w:p>
          <w:p w:rsidR="00CD385A" w:rsidRDefault="009802C4">
            <w:pPr>
              <w:spacing w:line="580" w:lineRule="exact"/>
              <w:rPr>
                <w:kern w:val="2"/>
                <w:sz w:val="32"/>
                <w:lang w:val="en-US"/>
              </w:rPr>
            </w:pPr>
            <w:r>
              <w:rPr>
                <w:rFonts w:hint="eastAsia"/>
                <w:kern w:val="2"/>
                <w:sz w:val="32"/>
                <w:lang w:val="en-US"/>
              </w:rPr>
              <w:t>责任人：</w:t>
            </w:r>
            <w:r w:rsidR="00A309FD">
              <w:rPr>
                <w:rFonts w:hint="eastAsia"/>
                <w:kern w:val="2"/>
                <w:sz w:val="32"/>
                <w:lang w:val="en-US"/>
              </w:rPr>
              <w:t>曾锋、陈昌勇</w:t>
            </w:r>
          </w:p>
          <w:p w:rsidR="00CD385A" w:rsidRDefault="009802C4">
            <w:pPr>
              <w:spacing w:line="580" w:lineRule="exact"/>
            </w:pPr>
            <w:r>
              <w:rPr>
                <w:rFonts w:hint="eastAsia"/>
                <w:kern w:val="2"/>
                <w:sz w:val="32"/>
                <w:lang w:val="en-US"/>
              </w:rPr>
              <w:t>联系人：</w:t>
            </w:r>
            <w:r w:rsidR="00A309FD">
              <w:rPr>
                <w:rFonts w:hint="eastAsia"/>
                <w:kern w:val="2"/>
                <w:sz w:val="32"/>
                <w:lang w:val="en-US"/>
              </w:rPr>
              <w:t>李崇民</w:t>
            </w:r>
          </w:p>
        </w:tc>
      </w:tr>
      <w:tr w:rsidR="00CD385A" w:rsidRPr="00692FE0">
        <w:trPr>
          <w:jc w:val="center"/>
        </w:trPr>
        <w:tc>
          <w:tcPr>
            <w:tcW w:w="1469" w:type="dxa"/>
            <w:vAlign w:val="center"/>
          </w:tcPr>
          <w:p w:rsidR="00CD385A" w:rsidRDefault="009802C4">
            <w:pPr>
              <w:widowControl/>
              <w:spacing w:line="560" w:lineRule="exact"/>
              <w:jc w:val="center"/>
              <w:rPr>
                <w:sz w:val="32"/>
              </w:rPr>
            </w:pPr>
            <w:r>
              <w:rPr>
                <w:w w:val="95"/>
                <w:sz w:val="32"/>
              </w:rPr>
              <w:t>公示说明</w:t>
            </w:r>
          </w:p>
        </w:tc>
        <w:tc>
          <w:tcPr>
            <w:tcW w:w="7053" w:type="dxa"/>
            <w:vAlign w:val="center"/>
          </w:tcPr>
          <w:p w:rsidR="00CD385A" w:rsidRPr="00692FE0" w:rsidRDefault="009802C4" w:rsidP="00692FE0">
            <w:pPr>
              <w:ind w:firstLineChars="200" w:firstLine="640"/>
              <w:rPr>
                <w:lang w:val="en-US"/>
              </w:rPr>
            </w:pPr>
            <w:r>
              <w:rPr>
                <w:rFonts w:hint="eastAsia"/>
                <w:kern w:val="2"/>
                <w:sz w:val="32"/>
                <w:lang w:val="en-US"/>
              </w:rPr>
              <w:t>现将该问题整改落实情况进行公示，如有意见建议，请反馈至昆明滇池旅游度假区湖滨路第七水质净化厂（邮箱：</w:t>
            </w:r>
            <w:r w:rsidR="00EB7E4C" w:rsidRPr="00EB7E4C">
              <w:rPr>
                <w:kern w:val="2"/>
                <w:sz w:val="32"/>
                <w:lang w:val="en-US"/>
              </w:rPr>
              <w:t>ahb@kmdcsw.com</w:t>
            </w:r>
            <w:r>
              <w:rPr>
                <w:rFonts w:hint="eastAsia"/>
                <w:kern w:val="2"/>
                <w:sz w:val="32"/>
                <w:lang w:val="en-US"/>
              </w:rPr>
              <w:t>）。联系人员及电话：</w:t>
            </w:r>
            <w:r w:rsidR="00692FE0">
              <w:rPr>
                <w:rFonts w:hint="eastAsia"/>
                <w:kern w:val="2"/>
                <w:sz w:val="32"/>
                <w:lang w:val="en-US"/>
              </w:rPr>
              <w:t>唐艺玲</w:t>
            </w:r>
            <w:r>
              <w:rPr>
                <w:rFonts w:hint="eastAsia"/>
                <w:kern w:val="2"/>
                <w:sz w:val="32"/>
                <w:lang w:val="en-US"/>
              </w:rPr>
              <w:t>，</w:t>
            </w:r>
            <w:r w:rsidR="00692FE0">
              <w:rPr>
                <w:kern w:val="2"/>
                <w:sz w:val="32"/>
                <w:lang w:val="en-US"/>
              </w:rPr>
              <w:t>18208811881</w:t>
            </w:r>
            <w:r>
              <w:rPr>
                <w:rFonts w:hint="eastAsia"/>
                <w:kern w:val="2"/>
                <w:sz w:val="32"/>
                <w:lang w:val="en-US"/>
              </w:rPr>
              <w:t>。</w:t>
            </w:r>
          </w:p>
        </w:tc>
      </w:tr>
    </w:tbl>
    <w:p w:rsidR="00CD385A" w:rsidRPr="00692FE0" w:rsidRDefault="00CD385A">
      <w:pPr>
        <w:rPr>
          <w:lang w:val="en-US"/>
        </w:rPr>
      </w:pPr>
    </w:p>
    <w:sectPr w:rsidR="00CD385A" w:rsidRPr="00692F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482" w:rsidRDefault="00070482">
      <w:r>
        <w:separator/>
      </w:r>
    </w:p>
  </w:endnote>
  <w:endnote w:type="continuationSeparator" w:id="0">
    <w:p w:rsidR="00070482" w:rsidRDefault="0007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482" w:rsidRDefault="00070482">
      <w:r>
        <w:separator/>
      </w:r>
    </w:p>
  </w:footnote>
  <w:footnote w:type="continuationSeparator" w:id="0">
    <w:p w:rsidR="00070482" w:rsidRDefault="00070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2071A2"/>
    <w:rsid w:val="0004057F"/>
    <w:rsid w:val="00070482"/>
    <w:rsid w:val="000E7B0F"/>
    <w:rsid w:val="00103828"/>
    <w:rsid w:val="001670ED"/>
    <w:rsid w:val="001D40BD"/>
    <w:rsid w:val="00407E93"/>
    <w:rsid w:val="00426A1E"/>
    <w:rsid w:val="00436593"/>
    <w:rsid w:val="004C0671"/>
    <w:rsid w:val="005C7D86"/>
    <w:rsid w:val="005D6DFD"/>
    <w:rsid w:val="00692FE0"/>
    <w:rsid w:val="006E4806"/>
    <w:rsid w:val="007E7A41"/>
    <w:rsid w:val="00800BB3"/>
    <w:rsid w:val="008B4116"/>
    <w:rsid w:val="00924E9A"/>
    <w:rsid w:val="009802C4"/>
    <w:rsid w:val="00A306D2"/>
    <w:rsid w:val="00A309FD"/>
    <w:rsid w:val="00A31D53"/>
    <w:rsid w:val="00B36D40"/>
    <w:rsid w:val="00BE556A"/>
    <w:rsid w:val="00C1703A"/>
    <w:rsid w:val="00CC3597"/>
    <w:rsid w:val="00CD385A"/>
    <w:rsid w:val="00CE7199"/>
    <w:rsid w:val="00D67BC2"/>
    <w:rsid w:val="00D7286A"/>
    <w:rsid w:val="00EB7E4C"/>
    <w:rsid w:val="00FB4F85"/>
    <w:rsid w:val="00FD65E0"/>
    <w:rsid w:val="0AFA0873"/>
    <w:rsid w:val="174068BA"/>
    <w:rsid w:val="1C0F0D43"/>
    <w:rsid w:val="3A2071A2"/>
    <w:rsid w:val="4B60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92D30B-E2AE-4BBF-959E-341BA649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ind w:left="115"/>
      <w:jc w:val="center"/>
      <w:outlineLvl w:val="0"/>
    </w:pPr>
    <w:rPr>
      <w:rFonts w:ascii="Arial Unicode MS" w:eastAsia="Arial Unicode MS" w:hAnsi="Arial Unicode MS" w:cs="Arial Unicode MS"/>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sz w:val="32"/>
      <w:szCs w:val="32"/>
    </w:rPr>
  </w:style>
  <w:style w:type="table" w:styleId="a4">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style>
  <w:style w:type="paragraph" w:styleId="a5">
    <w:name w:val="header"/>
    <w:basedOn w:val="a"/>
    <w:link w:val="Char"/>
    <w:rsid w:val="00FD65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FD65E0"/>
    <w:rPr>
      <w:rFonts w:ascii="仿宋_GB2312" w:eastAsia="仿宋_GB2312" w:hAnsi="仿宋_GB2312" w:cs="仿宋_GB2312"/>
      <w:sz w:val="18"/>
      <w:szCs w:val="18"/>
      <w:lang w:val="zh-CN" w:bidi="zh-CN"/>
    </w:rPr>
  </w:style>
  <w:style w:type="paragraph" w:styleId="a6">
    <w:name w:val="footer"/>
    <w:basedOn w:val="a"/>
    <w:link w:val="Char0"/>
    <w:rsid w:val="00FD65E0"/>
    <w:pPr>
      <w:tabs>
        <w:tab w:val="center" w:pos="4153"/>
        <w:tab w:val="right" w:pos="8306"/>
      </w:tabs>
      <w:snapToGrid w:val="0"/>
    </w:pPr>
    <w:rPr>
      <w:sz w:val="18"/>
      <w:szCs w:val="18"/>
    </w:rPr>
  </w:style>
  <w:style w:type="character" w:customStyle="1" w:styleId="Char0">
    <w:name w:val="页脚 Char"/>
    <w:basedOn w:val="a1"/>
    <w:link w:val="a6"/>
    <w:rsid w:val="00FD65E0"/>
    <w:rPr>
      <w:rFonts w:ascii="仿宋_GB2312" w:eastAsia="仿宋_GB2312" w:hAnsi="仿宋_GB2312" w:cs="仿宋_GB2312"/>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old</dc:creator>
  <cp:lastModifiedBy>唐</cp:lastModifiedBy>
  <cp:revision>6</cp:revision>
  <dcterms:created xsi:type="dcterms:W3CDTF">2024-12-16T07:41:00Z</dcterms:created>
  <dcterms:modified xsi:type="dcterms:W3CDTF">2024-12-30T05:57:00Z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41E84BAADEEB4F58B0B0E3E89F0D83E8</vt:lpwstr>
  </property>
</Properties>
</file>